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FE0A8" w14:textId="2AB13DDA" w:rsidR="000E1E8F" w:rsidRPr="000E1E8F" w:rsidRDefault="003D577E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2 do Formularza Ofertowego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6C05B947" w:rsidR="000E1E8F" w:rsidRPr="0004719C" w:rsidRDefault="000E1E8F" w:rsidP="0004719C">
      <w:pPr>
        <w:spacing w:after="0" w:line="276" w:lineRule="auto"/>
        <w:rPr>
          <w:rFonts w:cs="Arial"/>
          <w:b/>
          <w:sz w:val="20"/>
          <w:szCs w:val="20"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04719C" w:rsidRPr="0004719C">
        <w:rPr>
          <w:b/>
        </w:rPr>
        <w:t xml:space="preserve">„Zakup fabrycznie nowego </w:t>
      </w:r>
      <w:r w:rsidR="003D577E">
        <w:rPr>
          <w:b/>
        </w:rPr>
        <w:t xml:space="preserve">samochodu osobowego </w:t>
      </w:r>
      <w:r w:rsidR="0004719C" w:rsidRPr="0004719C">
        <w:rPr>
          <w:b/>
        </w:rPr>
        <w:t>dla ZPKWŚ w Będzinie”</w:t>
      </w:r>
      <w:r w:rsidR="0004719C" w:rsidRPr="0004719C">
        <w:t>.</w:t>
      </w:r>
      <w:r w:rsidR="0004719C">
        <w:rPr>
          <w:rFonts w:cs="Arial"/>
          <w:b/>
          <w:sz w:val="20"/>
          <w:szCs w:val="20"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3D577E">
        <w:t xml:space="preserve"> AD-B.230</w:t>
      </w:r>
      <w:r w:rsidR="0012619E">
        <w:t>.18</w:t>
      </w:r>
      <w:r w:rsidR="0004719C">
        <w:t>.2022.DK</w:t>
      </w:r>
      <w:r w:rsidR="000E0858" w:rsidRPr="000E0858">
        <w:t xml:space="preserve">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r w:rsidRPr="002E0417">
        <w:rPr>
          <w:rFonts w:ascii="Calibri" w:hAnsi="Calibri"/>
        </w:rPr>
        <w:t>późn</w:t>
      </w:r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odbiorcami Pani/Pana danych osobowych będą osoby lub podmioty, którym udostępniona zostanie dokumentacja postępowania w oparciu o przepisy ustawy Pzp;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>Pani/Pana dane osobowe będą przechowywane, zgodnie z przepisami ustawy Pzp,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</w:t>
      </w:r>
      <w:r w:rsidRPr="00311EF7">
        <w:rPr>
          <w:rFonts w:ascii="Calibri" w:hAnsi="Calibri" w:cs="Calibri"/>
        </w:rPr>
        <w:lastRenderedPageBreak/>
        <w:t>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4C83AFFE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817D55D" w14:textId="77777777" w:rsidR="003D577E" w:rsidRDefault="003D577E" w:rsidP="004F429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Podpis/y osoby/osób uprawnionej/</w:t>
      </w:r>
      <w:proofErr w:type="spellStart"/>
      <w:r>
        <w:rPr>
          <w:rFonts w:cs="Arial"/>
          <w:color w:val="A6A6A6" w:themeColor="background1" w:themeShade="A6"/>
          <w:sz w:val="18"/>
          <w:szCs w:val="18"/>
        </w:rPr>
        <w:t>ych</w:t>
      </w:r>
      <w:proofErr w:type="spellEnd"/>
      <w:r>
        <w:rPr>
          <w:rFonts w:cs="Arial"/>
          <w:color w:val="A6A6A6" w:themeColor="background1" w:themeShade="A6"/>
          <w:sz w:val="18"/>
          <w:szCs w:val="18"/>
        </w:rPr>
        <w:t xml:space="preserve"> do reprezentacji Wykonawcy</w:t>
      </w:r>
    </w:p>
    <w:p w14:paraId="5A99F023" w14:textId="47C0F96B" w:rsidR="004F4293" w:rsidRDefault="003D577E" w:rsidP="004F429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/k</w:t>
      </w:r>
      <w:r w:rsidR="004F4293">
        <w:rPr>
          <w:rFonts w:cs="Arial"/>
          <w:color w:val="A6A6A6" w:themeColor="background1" w:themeShade="A6"/>
          <w:sz w:val="18"/>
          <w:szCs w:val="18"/>
        </w:rPr>
        <w:t>walifikowalny</w:t>
      </w:r>
      <w:r w:rsidR="004F4293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="004F4293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  <w:r>
        <w:rPr>
          <w:rFonts w:cs="Arial"/>
          <w:color w:val="A6A6A6" w:themeColor="background1" w:themeShade="A6"/>
          <w:sz w:val="18"/>
          <w:szCs w:val="18"/>
        </w:rPr>
        <w:t xml:space="preserve"> (e-dowód)/</w:t>
      </w:r>
    </w:p>
    <w:p w14:paraId="79C3FA63" w14:textId="3688049D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CE3B43" w:rsidRPr="001A2991" w:rsidSect="000E3DE6">
      <w:headerReference w:type="default" r:id="rId9"/>
      <w:footerReference w:type="default" r:id="rId10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D146" w14:textId="77777777" w:rsidR="00532F39" w:rsidRDefault="00532F39" w:rsidP="006F18C2">
      <w:pPr>
        <w:spacing w:after="0" w:line="240" w:lineRule="auto"/>
      </w:pPr>
      <w:r>
        <w:separator/>
      </w:r>
    </w:p>
  </w:endnote>
  <w:endnote w:type="continuationSeparator" w:id="0">
    <w:p w14:paraId="61132F82" w14:textId="77777777" w:rsidR="00532F39" w:rsidRDefault="00532F3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27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6CDB90" w14:textId="146C0C66" w:rsidR="004A1FB2" w:rsidRDefault="004A1FB2">
            <w:pPr>
              <w:pStyle w:val="Stopka"/>
              <w:jc w:val="right"/>
            </w:pPr>
            <w:r>
              <w:t xml:space="preserve"> Strona </w:t>
            </w:r>
            <w:r w:rsidR="0013688B">
              <w:rPr>
                <w:b/>
                <w:bCs/>
                <w:noProof/>
              </w:rPr>
              <w:t>2</w:t>
            </w:r>
            <w:r>
              <w:t xml:space="preserve"> z </w:t>
            </w:r>
            <w:r w:rsidR="0013688B">
              <w:rPr>
                <w:b/>
                <w:bCs/>
                <w:noProof/>
              </w:rPr>
              <w:t>2</w:t>
            </w:r>
          </w:p>
        </w:sdtContent>
      </w:sdt>
    </w:sdtContent>
  </w:sdt>
  <w:p w14:paraId="31D3E572" w14:textId="16E2100C" w:rsidR="008F02A4" w:rsidRPr="00CC0546" w:rsidRDefault="001A2991" w:rsidP="001A2991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798E67A9" wp14:editId="672BAD49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E0E7B" w14:textId="77777777" w:rsidR="00532F39" w:rsidRDefault="00532F39" w:rsidP="006F18C2">
      <w:pPr>
        <w:spacing w:after="0" w:line="240" w:lineRule="auto"/>
      </w:pPr>
      <w:r>
        <w:separator/>
      </w:r>
    </w:p>
  </w:footnote>
  <w:footnote w:type="continuationSeparator" w:id="0">
    <w:p w14:paraId="58B15B35" w14:textId="77777777" w:rsidR="00532F39" w:rsidRDefault="00532F3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B5B55" w14:textId="37499E5C" w:rsidR="0069780F" w:rsidRDefault="0069780F" w:rsidP="004E6DAB">
    <w:pPr>
      <w:spacing w:after="0" w:line="240" w:lineRule="auto"/>
    </w:pPr>
    <w:r w:rsidRPr="00E94B6B">
      <w:t xml:space="preserve">Znak sprawy: </w:t>
    </w:r>
    <w:r w:rsidR="0012619E">
      <w:t>AD-B.230.18</w:t>
    </w:r>
    <w:r w:rsidR="007E7DEC">
      <w:t>.2022.JR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72EE"/>
    <w:rsid w:val="00021806"/>
    <w:rsid w:val="00030BC7"/>
    <w:rsid w:val="0004719C"/>
    <w:rsid w:val="00064AE0"/>
    <w:rsid w:val="0006596B"/>
    <w:rsid w:val="000B6036"/>
    <w:rsid w:val="000C5ED9"/>
    <w:rsid w:val="000E0858"/>
    <w:rsid w:val="000E1E8F"/>
    <w:rsid w:val="000E3DE6"/>
    <w:rsid w:val="000E5351"/>
    <w:rsid w:val="00113190"/>
    <w:rsid w:val="0012619E"/>
    <w:rsid w:val="00131E95"/>
    <w:rsid w:val="0013436E"/>
    <w:rsid w:val="0013688B"/>
    <w:rsid w:val="00173935"/>
    <w:rsid w:val="00174499"/>
    <w:rsid w:val="001A2991"/>
    <w:rsid w:val="001B6B6B"/>
    <w:rsid w:val="0021026C"/>
    <w:rsid w:val="00212972"/>
    <w:rsid w:val="002304C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D577E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4F4293"/>
    <w:rsid w:val="00511984"/>
    <w:rsid w:val="00532F39"/>
    <w:rsid w:val="00534DD8"/>
    <w:rsid w:val="0055049E"/>
    <w:rsid w:val="00564B1E"/>
    <w:rsid w:val="005A45BC"/>
    <w:rsid w:val="005E6FF0"/>
    <w:rsid w:val="0060331D"/>
    <w:rsid w:val="0062593D"/>
    <w:rsid w:val="00640F7F"/>
    <w:rsid w:val="0069780F"/>
    <w:rsid w:val="006E3820"/>
    <w:rsid w:val="006F0FCF"/>
    <w:rsid w:val="006F18C2"/>
    <w:rsid w:val="007401AE"/>
    <w:rsid w:val="00783D6C"/>
    <w:rsid w:val="00794896"/>
    <w:rsid w:val="007E7DEC"/>
    <w:rsid w:val="007F6ABF"/>
    <w:rsid w:val="0086568B"/>
    <w:rsid w:val="00873DD8"/>
    <w:rsid w:val="0088253C"/>
    <w:rsid w:val="00882B33"/>
    <w:rsid w:val="008B27CB"/>
    <w:rsid w:val="008C5C0B"/>
    <w:rsid w:val="008D0A41"/>
    <w:rsid w:val="008F02A4"/>
    <w:rsid w:val="00900F40"/>
    <w:rsid w:val="009065CA"/>
    <w:rsid w:val="009414D7"/>
    <w:rsid w:val="00966D41"/>
    <w:rsid w:val="009A5ACB"/>
    <w:rsid w:val="009B6846"/>
    <w:rsid w:val="00A65F63"/>
    <w:rsid w:val="00A93C66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281B"/>
    <w:rsid w:val="00CF3499"/>
    <w:rsid w:val="00CF6C82"/>
    <w:rsid w:val="00D11999"/>
    <w:rsid w:val="00D218D0"/>
    <w:rsid w:val="00D21C86"/>
    <w:rsid w:val="00D305F8"/>
    <w:rsid w:val="00D31DB3"/>
    <w:rsid w:val="00D465F8"/>
    <w:rsid w:val="00D51195"/>
    <w:rsid w:val="00D55765"/>
    <w:rsid w:val="00D60C36"/>
    <w:rsid w:val="00D64ED8"/>
    <w:rsid w:val="00D86507"/>
    <w:rsid w:val="00DA683B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6045"/>
    <w:rsid w:val="00F57C36"/>
    <w:rsid w:val="00F62D90"/>
    <w:rsid w:val="00F81E1D"/>
    <w:rsid w:val="00F8477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  <w:style w:type="paragraph" w:styleId="Tekstdymka">
    <w:name w:val="Balloon Text"/>
    <w:basedOn w:val="Normalny"/>
    <w:link w:val="TekstdymkaZnak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  <w:style w:type="paragraph" w:styleId="Tekstdymka">
    <w:name w:val="Balloon Text"/>
    <w:basedOn w:val="Normalny"/>
    <w:link w:val="TekstdymkaZnak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569D-2378-4AA9-947A-350CBCED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AnnaK</cp:lastModifiedBy>
  <cp:revision>14</cp:revision>
  <cp:lastPrinted>2022-05-25T07:30:00Z</cp:lastPrinted>
  <dcterms:created xsi:type="dcterms:W3CDTF">2022-05-25T07:30:00Z</dcterms:created>
  <dcterms:modified xsi:type="dcterms:W3CDTF">2022-12-02T10:34:00Z</dcterms:modified>
</cp:coreProperties>
</file>